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6E" w:rsidRPr="00E20B63" w:rsidRDefault="00751C6E" w:rsidP="00E20B63">
      <w:pPr>
        <w:rPr>
          <w:b/>
          <w:bCs/>
          <w:i/>
          <w:iCs/>
          <w:sz w:val="52"/>
          <w:szCs w:val="52"/>
          <w:u w:val="single"/>
          <w:rtl/>
        </w:rPr>
      </w:pPr>
      <w:r w:rsidRPr="00E20B63">
        <w:rPr>
          <w:rFonts w:hint="cs"/>
          <w:b/>
          <w:bCs/>
          <w:i/>
          <w:iCs/>
          <w:sz w:val="52"/>
          <w:szCs w:val="52"/>
          <w:u w:val="single"/>
          <w:rtl/>
        </w:rPr>
        <w:t xml:space="preserve">כיסוי ביטוחי </w:t>
      </w:r>
      <w:r w:rsidRPr="00E20B63">
        <w:rPr>
          <w:b/>
          <w:bCs/>
          <w:i/>
          <w:iCs/>
          <w:sz w:val="52"/>
          <w:szCs w:val="52"/>
          <w:u w:val="single"/>
          <w:rtl/>
        </w:rPr>
        <w:t>–</w:t>
      </w:r>
      <w:r w:rsidRPr="00E20B63">
        <w:rPr>
          <w:rFonts w:hint="cs"/>
          <w:b/>
          <w:bCs/>
          <w:i/>
          <w:iCs/>
          <w:sz w:val="52"/>
          <w:szCs w:val="52"/>
          <w:u w:val="single"/>
          <w:rtl/>
        </w:rPr>
        <w:t xml:space="preserve"> תכולת בתי מגור</w:t>
      </w:r>
      <w:r w:rsidR="00E20B63" w:rsidRPr="00E20B63">
        <w:rPr>
          <w:rFonts w:hint="cs"/>
          <w:b/>
          <w:bCs/>
          <w:i/>
          <w:iCs/>
          <w:sz w:val="52"/>
          <w:szCs w:val="52"/>
          <w:u w:val="single"/>
          <w:rtl/>
        </w:rPr>
        <w:t>י חברים</w:t>
      </w:r>
    </w:p>
    <w:p w:rsidR="00751C6E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>הכיסוי הוא בפוליסה 'רכוש המשק' של יגור בפרק ב'- תכולת בתי מגורים.</w:t>
      </w:r>
    </w:p>
    <w:p w:rsidR="00751C6E" w:rsidRPr="002A5E21" w:rsidRDefault="000703BA" w:rsidP="000703B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הסיכונים המבוטחים, כמו למבנה: אש, נזקי טבע, נזקי מים עקב פיצוצי צנרת, נזקים לציוד חשמלי ואלקטרוני עקב נזקי חשמל</w:t>
      </w:r>
    </w:p>
    <w:p w:rsidR="00751C6E" w:rsidRPr="002A5E21" w:rsidRDefault="00751C6E" w:rsidP="00751C6E">
      <w:pPr>
        <w:rPr>
          <w:b/>
          <w:bCs/>
          <w:sz w:val="24"/>
          <w:szCs w:val="24"/>
          <w:u w:val="single"/>
          <w:rtl/>
        </w:rPr>
      </w:pPr>
      <w:r w:rsidRPr="002A5E21">
        <w:rPr>
          <w:rFonts w:hint="cs"/>
          <w:b/>
          <w:bCs/>
          <w:sz w:val="24"/>
          <w:szCs w:val="24"/>
          <w:u w:val="single"/>
          <w:rtl/>
        </w:rPr>
        <w:t>גבולות אחריות המבטח ליחידת דיור אחת</w:t>
      </w:r>
      <w:r w:rsidR="00E20B63">
        <w:rPr>
          <w:rFonts w:hint="cs"/>
          <w:b/>
          <w:bCs/>
          <w:sz w:val="24"/>
          <w:szCs w:val="24"/>
          <w:u w:val="single"/>
          <w:rtl/>
        </w:rPr>
        <w:t xml:space="preserve"> למקרה בודד ולתקופה (שנה)</w:t>
      </w:r>
      <w:r w:rsidRPr="002A5E21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751C6E" w:rsidRPr="002A5E21" w:rsidRDefault="000703BA" w:rsidP="00751C6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תכולת דירת המגורים מבוטחת עד לסכום מירבי של </w:t>
      </w:r>
      <w:r w:rsidR="00751C6E" w:rsidRPr="002A5E21">
        <w:rPr>
          <w:rFonts w:hint="cs"/>
          <w:sz w:val="24"/>
          <w:szCs w:val="24"/>
          <w:rtl/>
        </w:rPr>
        <w:t>: 320,000 ₪.</w:t>
      </w:r>
    </w:p>
    <w:p w:rsidR="00751C6E" w:rsidRPr="002A5E21" w:rsidRDefault="000703BA" w:rsidP="000703B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גבול אחריות ל</w:t>
      </w:r>
      <w:r w:rsidR="00E20B63">
        <w:rPr>
          <w:rFonts w:hint="cs"/>
          <w:sz w:val="24"/>
          <w:szCs w:val="24"/>
          <w:rtl/>
        </w:rPr>
        <w:t>מקרה של</w:t>
      </w:r>
      <w:r w:rsidR="00751C6E" w:rsidRPr="002A5E21">
        <w:rPr>
          <w:rFonts w:hint="cs"/>
          <w:sz w:val="24"/>
          <w:szCs w:val="24"/>
          <w:rtl/>
        </w:rPr>
        <w:t xml:space="preserve"> פריצה/גניבה: 40,000 ₪.</w:t>
      </w:r>
    </w:p>
    <w:p w:rsidR="00751C6E" w:rsidRPr="002A5E21" w:rsidRDefault="00751C6E" w:rsidP="00751C6E">
      <w:pPr>
        <w:rPr>
          <w:b/>
          <w:bCs/>
          <w:sz w:val="24"/>
          <w:szCs w:val="24"/>
          <w:u w:val="single"/>
          <w:rtl/>
        </w:rPr>
      </w:pPr>
      <w:r w:rsidRPr="002A5E21">
        <w:rPr>
          <w:rFonts w:hint="cs"/>
          <w:b/>
          <w:bCs/>
          <w:sz w:val="24"/>
          <w:szCs w:val="24"/>
          <w:u w:val="single"/>
          <w:rtl/>
        </w:rPr>
        <w:t>השתתפות עצמית:</w:t>
      </w:r>
    </w:p>
    <w:p w:rsidR="00751C6E" w:rsidRPr="002A5E21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>500 ₪ למקרה ביטוח.</w:t>
      </w:r>
    </w:p>
    <w:p w:rsidR="00751C6E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>במקרה של נזק חשמל וציוד אלקטרוני- 15% מהנזק ולא פחות מ 500 ₪ (הגבוה מבין השניים).</w:t>
      </w:r>
    </w:p>
    <w:p w:rsidR="00164233" w:rsidRDefault="003B6D26" w:rsidP="003B6D26">
      <w:pPr>
        <w:rPr>
          <w:b/>
          <w:bCs/>
          <w:i/>
          <w:iCs/>
          <w:sz w:val="24"/>
          <w:szCs w:val="24"/>
          <w:u w:val="single"/>
          <w:rtl/>
        </w:rPr>
      </w:pPr>
      <w:r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הגדרת </w:t>
      </w:r>
      <w:r w:rsidR="00164233" w:rsidRPr="00164233">
        <w:rPr>
          <w:rFonts w:hint="cs"/>
          <w:b/>
          <w:bCs/>
          <w:i/>
          <w:iCs/>
          <w:sz w:val="24"/>
          <w:szCs w:val="24"/>
          <w:u w:val="single"/>
          <w:rtl/>
        </w:rPr>
        <w:t>מקרה ביטוח</w:t>
      </w:r>
      <w:r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והסיכונים המבוטחים</w:t>
      </w:r>
      <w:r w:rsidR="00164233" w:rsidRPr="00164233">
        <w:rPr>
          <w:rFonts w:hint="cs"/>
          <w:b/>
          <w:bCs/>
          <w:i/>
          <w:iCs/>
          <w:sz w:val="24"/>
          <w:szCs w:val="24"/>
          <w:u w:val="single"/>
          <w:rtl/>
        </w:rPr>
        <w:t>:</w:t>
      </w:r>
    </w:p>
    <w:p w:rsidR="00751C6E" w:rsidRPr="002A5E21" w:rsidRDefault="003B6D26" w:rsidP="00751C6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ראה סעיפים 4 ו 5 בפוליסה המצורפת (עמודים 21-22)</w:t>
      </w:r>
    </w:p>
    <w:p w:rsidR="00751C6E" w:rsidRPr="002A5E21" w:rsidRDefault="00751C6E" w:rsidP="00751C6E">
      <w:pPr>
        <w:rPr>
          <w:b/>
          <w:bCs/>
          <w:sz w:val="24"/>
          <w:szCs w:val="24"/>
          <w:u w:val="single"/>
          <w:rtl/>
        </w:rPr>
      </w:pPr>
      <w:r w:rsidRPr="002A5E21">
        <w:rPr>
          <w:rFonts w:hint="cs"/>
          <w:b/>
          <w:bCs/>
          <w:sz w:val="24"/>
          <w:szCs w:val="24"/>
          <w:u w:val="single"/>
          <w:rtl/>
        </w:rPr>
        <w:t>גבולות אחריות המבטח לפרטי תכולה מסוימים:</w:t>
      </w:r>
    </w:p>
    <w:p w:rsidR="00751C6E" w:rsidRPr="002A5E21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>כסף מזומן- עד גבול של 1,600 ₪ (0.5% מביטוח התכולה הכולל).</w:t>
      </w:r>
    </w:p>
    <w:p w:rsidR="00751C6E" w:rsidRPr="002A5E21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>כלי כסף, כלי זהב, תכשיטים, שעונים, יצירות אומנות שונות, אוספים פרטיים (מלבד בולים ומטבעות), - עד 32,000 ₪ (10% מהסכום הכולל).</w:t>
      </w:r>
    </w:p>
    <w:p w:rsidR="00751C6E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>אוספי בולים ומטבעות, מערכות כלי אוכל- 16,000 ₪ (5% מסכום ביטוח התכולה הכולל).</w:t>
      </w:r>
    </w:p>
    <w:p w:rsidR="003B6D26" w:rsidRPr="003B6D26" w:rsidRDefault="003B6D26" w:rsidP="00751C6E">
      <w:pPr>
        <w:rPr>
          <w:b/>
          <w:bCs/>
          <w:sz w:val="24"/>
          <w:szCs w:val="24"/>
          <w:rtl/>
        </w:rPr>
      </w:pPr>
      <w:r w:rsidRPr="003B6D26">
        <w:rPr>
          <w:rFonts w:hint="cs"/>
          <w:b/>
          <w:bCs/>
          <w:sz w:val="24"/>
          <w:szCs w:val="24"/>
          <w:rtl/>
        </w:rPr>
        <w:t xml:space="preserve">*הרשימה </w:t>
      </w:r>
      <w:r>
        <w:rPr>
          <w:rFonts w:hint="cs"/>
          <w:b/>
          <w:bCs/>
          <w:sz w:val="24"/>
          <w:szCs w:val="24"/>
          <w:rtl/>
        </w:rPr>
        <w:t xml:space="preserve">מעלה </w:t>
      </w:r>
      <w:r w:rsidRPr="003B6D26">
        <w:rPr>
          <w:rFonts w:hint="cs"/>
          <w:b/>
          <w:bCs/>
          <w:sz w:val="24"/>
          <w:szCs w:val="24"/>
          <w:rtl/>
        </w:rPr>
        <w:t>מהווה תקציר, הפירוט המלא בסעיף 7 בפוליסה המצורפת (עמוד 23).</w:t>
      </w:r>
    </w:p>
    <w:p w:rsidR="00751C6E" w:rsidRPr="002A5E21" w:rsidRDefault="00751C6E" w:rsidP="00751C6E">
      <w:pPr>
        <w:rPr>
          <w:sz w:val="24"/>
          <w:szCs w:val="24"/>
          <w:rtl/>
        </w:rPr>
      </w:pPr>
    </w:p>
    <w:p w:rsidR="00751C6E" w:rsidRPr="002A5E21" w:rsidRDefault="00751C6E" w:rsidP="00751C6E">
      <w:pPr>
        <w:rPr>
          <w:b/>
          <w:bCs/>
          <w:sz w:val="24"/>
          <w:szCs w:val="24"/>
          <w:u w:val="single"/>
          <w:rtl/>
        </w:rPr>
      </w:pPr>
      <w:r w:rsidRPr="002A5E21">
        <w:rPr>
          <w:rFonts w:hint="cs"/>
          <w:b/>
          <w:bCs/>
          <w:sz w:val="24"/>
          <w:szCs w:val="24"/>
          <w:u w:val="single"/>
          <w:rtl/>
        </w:rPr>
        <w:t>מוחרגים מהכיסוי בפוליסה (אינם מבוטחים):</w:t>
      </w:r>
    </w:p>
    <w:p w:rsidR="00751C6E" w:rsidRPr="002A5E21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>ניירות ערך, אג"ח, תעודות מנייה, תעודות מלווה.</w:t>
      </w:r>
    </w:p>
    <w:p w:rsidR="00751C6E" w:rsidRPr="002A5E21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>בעלי חיים.</w:t>
      </w:r>
    </w:p>
    <w:p w:rsidR="00751C6E" w:rsidRPr="002A5E21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>חוזים, מסמכי התחייבות, שטרי מכר, תעודות ומסמכים למיניהם.</w:t>
      </w:r>
    </w:p>
    <w:p w:rsidR="00751C6E" w:rsidRPr="002A5E21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 xml:space="preserve">זהב, כסף או מתכת יקרה </w:t>
      </w:r>
      <w:r w:rsidRPr="002A5E21">
        <w:rPr>
          <w:rFonts w:hint="cs"/>
          <w:b/>
          <w:bCs/>
          <w:sz w:val="24"/>
          <w:szCs w:val="24"/>
          <w:rtl/>
        </w:rPr>
        <w:t>במצבם הגולמי</w:t>
      </w:r>
      <w:r w:rsidRPr="002A5E21">
        <w:rPr>
          <w:rFonts w:hint="cs"/>
          <w:sz w:val="24"/>
          <w:szCs w:val="24"/>
          <w:rtl/>
        </w:rPr>
        <w:t xml:space="preserve">. יהלומים ואבנים יקרות </w:t>
      </w:r>
      <w:r w:rsidRPr="002A5E21">
        <w:rPr>
          <w:rFonts w:hint="cs"/>
          <w:b/>
          <w:bCs/>
          <w:sz w:val="24"/>
          <w:szCs w:val="24"/>
          <w:rtl/>
        </w:rPr>
        <w:t>שאינם חלק מתכשיט</w:t>
      </w:r>
      <w:r w:rsidRPr="002A5E21">
        <w:rPr>
          <w:rFonts w:hint="cs"/>
          <w:sz w:val="24"/>
          <w:szCs w:val="24"/>
          <w:rtl/>
        </w:rPr>
        <w:t>.</w:t>
      </w:r>
    </w:p>
    <w:p w:rsidR="00751C6E" w:rsidRPr="002A5E21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>כלי רכב מנועיים, קרוואנים, נגררים, כלי שיט וטיס.</w:t>
      </w:r>
    </w:p>
    <w:p w:rsidR="00751C6E" w:rsidRPr="002A5E21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>כלי נשק, תחמושת וחומרי נפץ (למעט אקדח פרטי בבעלות הדייר ואשר מוחזק כדין ואינו משמש לעבודתו של הדייר</w:t>
      </w:r>
      <w:r w:rsidR="00E20B63">
        <w:rPr>
          <w:rFonts w:hint="cs"/>
          <w:sz w:val="24"/>
          <w:szCs w:val="24"/>
          <w:rtl/>
        </w:rPr>
        <w:t xml:space="preserve"> ו/או בני הבית</w:t>
      </w:r>
      <w:r w:rsidRPr="002A5E21">
        <w:rPr>
          <w:rFonts w:hint="cs"/>
          <w:sz w:val="24"/>
          <w:szCs w:val="24"/>
          <w:rtl/>
        </w:rPr>
        <w:t>).</w:t>
      </w:r>
    </w:p>
    <w:p w:rsidR="00751C6E" w:rsidRPr="002A5E21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lastRenderedPageBreak/>
        <w:t xml:space="preserve">כתבי יד, תוכניות, שרטוטים, תרשימים </w:t>
      </w:r>
      <w:proofErr w:type="spellStart"/>
      <w:r w:rsidRPr="002A5E21">
        <w:rPr>
          <w:rFonts w:hint="cs"/>
          <w:sz w:val="24"/>
          <w:szCs w:val="24"/>
          <w:rtl/>
        </w:rPr>
        <w:t>וכו</w:t>
      </w:r>
      <w:proofErr w:type="spellEnd"/>
      <w:r w:rsidRPr="002A5E21">
        <w:rPr>
          <w:rFonts w:hint="cs"/>
          <w:sz w:val="24"/>
          <w:szCs w:val="24"/>
          <w:rtl/>
        </w:rPr>
        <w:t>'.</w:t>
      </w:r>
    </w:p>
    <w:p w:rsidR="00751C6E" w:rsidRPr="002A5E21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>פנקסי חשבונות וספרי עסק.</w:t>
      </w:r>
    </w:p>
    <w:p w:rsidR="00751C6E" w:rsidRPr="002A5E21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 xml:space="preserve">ציוד ומלאי </w:t>
      </w:r>
      <w:r w:rsidRPr="002A5E21">
        <w:rPr>
          <w:rFonts w:hint="cs"/>
          <w:b/>
          <w:bCs/>
          <w:sz w:val="24"/>
          <w:szCs w:val="24"/>
          <w:rtl/>
        </w:rPr>
        <w:t>המשמשים לעסק</w:t>
      </w:r>
      <w:r w:rsidRPr="002A5E21">
        <w:rPr>
          <w:rFonts w:hint="cs"/>
          <w:sz w:val="24"/>
          <w:szCs w:val="24"/>
          <w:rtl/>
        </w:rPr>
        <w:t xml:space="preserve"> של הדייר.</w:t>
      </w:r>
    </w:p>
    <w:p w:rsidR="00751C6E" w:rsidRPr="002A5E21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>פריטים המוחזקים בקומיסיון.</w:t>
      </w:r>
    </w:p>
    <w:p w:rsidR="00751C6E" w:rsidRDefault="00751C6E" w:rsidP="00751C6E">
      <w:pPr>
        <w:rPr>
          <w:sz w:val="24"/>
          <w:szCs w:val="24"/>
          <w:rtl/>
        </w:rPr>
      </w:pPr>
      <w:r w:rsidRPr="002A5E21">
        <w:rPr>
          <w:rFonts w:hint="cs"/>
          <w:sz w:val="24"/>
          <w:szCs w:val="24"/>
          <w:rtl/>
        </w:rPr>
        <w:t>המחאות, המחאות נוסעים, המחאות דואר, שטרי חוב ושטרות למיניהם, כרטיסי נסיעה טיסה והפלגה, כרטיסי הגרלה, שוברים תלושי שי וכרטיסי אשראי.</w:t>
      </w:r>
    </w:p>
    <w:p w:rsidR="00DD2B23" w:rsidRPr="003B6D26" w:rsidRDefault="00DD2B23" w:rsidP="00DD2B23">
      <w:pPr>
        <w:rPr>
          <w:b/>
          <w:bCs/>
          <w:sz w:val="24"/>
          <w:szCs w:val="24"/>
          <w:rtl/>
        </w:rPr>
      </w:pPr>
      <w:r w:rsidRPr="003B6D26">
        <w:rPr>
          <w:rFonts w:hint="cs"/>
          <w:b/>
          <w:bCs/>
          <w:sz w:val="24"/>
          <w:szCs w:val="24"/>
          <w:rtl/>
        </w:rPr>
        <w:t xml:space="preserve">*הרשימה </w:t>
      </w:r>
      <w:r>
        <w:rPr>
          <w:rFonts w:hint="cs"/>
          <w:b/>
          <w:bCs/>
          <w:sz w:val="24"/>
          <w:szCs w:val="24"/>
          <w:rtl/>
        </w:rPr>
        <w:t xml:space="preserve">מעלה </w:t>
      </w:r>
      <w:r w:rsidRPr="003B6D26">
        <w:rPr>
          <w:rFonts w:hint="cs"/>
          <w:b/>
          <w:bCs/>
          <w:sz w:val="24"/>
          <w:szCs w:val="24"/>
          <w:rtl/>
        </w:rPr>
        <w:t xml:space="preserve">מהווה תקציר, הפירוט המלא בסעיף </w:t>
      </w:r>
      <w:r>
        <w:rPr>
          <w:rFonts w:hint="cs"/>
          <w:b/>
          <w:bCs/>
          <w:sz w:val="24"/>
          <w:szCs w:val="24"/>
          <w:rtl/>
        </w:rPr>
        <w:t>1.2</w:t>
      </w:r>
      <w:r w:rsidRPr="003B6D26">
        <w:rPr>
          <w:rFonts w:hint="cs"/>
          <w:b/>
          <w:bCs/>
          <w:sz w:val="24"/>
          <w:szCs w:val="24"/>
          <w:rtl/>
        </w:rPr>
        <w:t xml:space="preserve"> בפוליסה המצורפת (עמוד</w:t>
      </w:r>
      <w:r>
        <w:rPr>
          <w:rFonts w:hint="cs"/>
          <w:b/>
          <w:bCs/>
          <w:sz w:val="24"/>
          <w:szCs w:val="24"/>
          <w:rtl/>
        </w:rPr>
        <w:t>ים</w:t>
      </w:r>
      <w:r w:rsidRPr="003B6D26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20-21</w:t>
      </w:r>
      <w:r w:rsidRPr="003B6D26">
        <w:rPr>
          <w:rFonts w:hint="cs"/>
          <w:b/>
          <w:bCs/>
          <w:sz w:val="24"/>
          <w:szCs w:val="24"/>
          <w:rtl/>
        </w:rPr>
        <w:t>).</w:t>
      </w:r>
    </w:p>
    <w:p w:rsidR="00DD2B23" w:rsidRDefault="00DD2B23" w:rsidP="00751C6E">
      <w:pPr>
        <w:rPr>
          <w:sz w:val="24"/>
          <w:szCs w:val="24"/>
          <w:rtl/>
        </w:rPr>
      </w:pPr>
    </w:p>
    <w:p w:rsidR="000703BA" w:rsidRPr="000C07A5" w:rsidRDefault="000703BA" w:rsidP="00751C6E">
      <w:pPr>
        <w:rPr>
          <w:b/>
          <w:bCs/>
          <w:sz w:val="24"/>
          <w:szCs w:val="24"/>
          <w:rtl/>
        </w:rPr>
      </w:pPr>
      <w:r w:rsidRPr="000C07A5">
        <w:rPr>
          <w:rFonts w:hint="cs"/>
          <w:b/>
          <w:bCs/>
          <w:sz w:val="24"/>
          <w:szCs w:val="24"/>
          <w:rtl/>
        </w:rPr>
        <w:t xml:space="preserve">לחברים שיש תכולה </w:t>
      </w:r>
      <w:r w:rsidR="000C07A5" w:rsidRPr="000C07A5">
        <w:rPr>
          <w:rFonts w:hint="cs"/>
          <w:b/>
          <w:bCs/>
          <w:sz w:val="24"/>
          <w:szCs w:val="24"/>
          <w:rtl/>
        </w:rPr>
        <w:t xml:space="preserve">הכוללת פריטים </w:t>
      </w:r>
      <w:r w:rsidRPr="000C07A5">
        <w:rPr>
          <w:rFonts w:hint="cs"/>
          <w:b/>
          <w:bCs/>
          <w:sz w:val="24"/>
          <w:szCs w:val="24"/>
          <w:rtl/>
        </w:rPr>
        <w:t>בעל</w:t>
      </w:r>
      <w:r w:rsidR="000C07A5" w:rsidRPr="000C07A5">
        <w:rPr>
          <w:rFonts w:hint="cs"/>
          <w:b/>
          <w:bCs/>
          <w:sz w:val="24"/>
          <w:szCs w:val="24"/>
          <w:rtl/>
        </w:rPr>
        <w:t>י</w:t>
      </w:r>
      <w:r w:rsidRPr="000C07A5">
        <w:rPr>
          <w:rFonts w:hint="cs"/>
          <w:b/>
          <w:bCs/>
          <w:sz w:val="24"/>
          <w:szCs w:val="24"/>
          <w:rtl/>
        </w:rPr>
        <w:t xml:space="preserve"> ערך שגבוה מ 1,000 $ לפריט, או אוסף </w:t>
      </w:r>
      <w:r w:rsidR="000C07A5" w:rsidRPr="000C07A5">
        <w:rPr>
          <w:rFonts w:hint="cs"/>
          <w:b/>
          <w:bCs/>
          <w:sz w:val="24"/>
          <w:szCs w:val="24"/>
          <w:rtl/>
        </w:rPr>
        <w:t>שערכו גבוה, צריכים לפנות ולבקש ביטוח ספציפי לפריטים אלה. פריטי אומנות שערכם נקבע על פי ערך שוק,</w:t>
      </w:r>
      <w:r w:rsidRPr="000C07A5">
        <w:rPr>
          <w:rFonts w:hint="cs"/>
          <w:b/>
          <w:bCs/>
          <w:sz w:val="24"/>
          <w:szCs w:val="24"/>
          <w:rtl/>
        </w:rPr>
        <w:t xml:space="preserve"> </w:t>
      </w:r>
      <w:r w:rsidR="000C07A5" w:rsidRPr="000C07A5">
        <w:rPr>
          <w:rFonts w:hint="cs"/>
          <w:b/>
          <w:bCs/>
          <w:sz w:val="24"/>
          <w:szCs w:val="24"/>
          <w:rtl/>
        </w:rPr>
        <w:t>יש צורך להביא חוות דעת של מעריך-מומחה בתחום.</w:t>
      </w:r>
    </w:p>
    <w:p w:rsidR="000C07A5" w:rsidRPr="000C07A5" w:rsidRDefault="000C07A5" w:rsidP="00751C6E">
      <w:pPr>
        <w:rPr>
          <w:b/>
          <w:bCs/>
          <w:sz w:val="24"/>
          <w:szCs w:val="24"/>
          <w:rtl/>
        </w:rPr>
      </w:pPr>
      <w:r w:rsidRPr="000C07A5">
        <w:rPr>
          <w:rFonts w:hint="cs"/>
          <w:b/>
          <w:bCs/>
          <w:sz w:val="24"/>
          <w:szCs w:val="24"/>
          <w:rtl/>
        </w:rPr>
        <w:t xml:space="preserve">מומלץ לחברים לצלם תכשיטים ופריטים </w:t>
      </w:r>
      <w:proofErr w:type="spellStart"/>
      <w:r w:rsidRPr="000C07A5">
        <w:rPr>
          <w:rFonts w:hint="cs"/>
          <w:b/>
          <w:bCs/>
          <w:sz w:val="24"/>
          <w:szCs w:val="24"/>
          <w:rtl/>
        </w:rPr>
        <w:t>יחודיים</w:t>
      </w:r>
      <w:proofErr w:type="spellEnd"/>
      <w:r w:rsidRPr="000C07A5">
        <w:rPr>
          <w:rFonts w:hint="cs"/>
          <w:b/>
          <w:bCs/>
          <w:sz w:val="24"/>
          <w:szCs w:val="24"/>
          <w:rtl/>
        </w:rPr>
        <w:t xml:space="preserve"> כדי שניתן להוכיח את קיומם במקרה של פריצה וגניבה. </w:t>
      </w:r>
    </w:p>
    <w:p w:rsidR="00751C6E" w:rsidRPr="002A5E21" w:rsidRDefault="00751C6E" w:rsidP="00751C6E">
      <w:pPr>
        <w:rPr>
          <w:sz w:val="24"/>
          <w:szCs w:val="24"/>
          <w:rtl/>
        </w:rPr>
      </w:pPr>
      <w:bookmarkStart w:id="0" w:name="_GoBack"/>
      <w:bookmarkEnd w:id="0"/>
    </w:p>
    <w:p w:rsidR="00751C6E" w:rsidRDefault="00751C6E" w:rsidP="00751C6E">
      <w:pPr>
        <w:rPr>
          <w:b/>
          <w:bCs/>
          <w:sz w:val="24"/>
          <w:szCs w:val="24"/>
          <w:rtl/>
        </w:rPr>
      </w:pPr>
      <w:r w:rsidRPr="002A5E21">
        <w:rPr>
          <w:rFonts w:hint="cs"/>
          <w:b/>
          <w:bCs/>
          <w:sz w:val="24"/>
          <w:szCs w:val="24"/>
          <w:rtl/>
        </w:rPr>
        <w:t>מצורפת הפוליסה עצמה, מומלץ לעבו</w:t>
      </w:r>
      <w:r w:rsidR="00E20B63">
        <w:rPr>
          <w:rFonts w:hint="cs"/>
          <w:b/>
          <w:bCs/>
          <w:sz w:val="24"/>
          <w:szCs w:val="24"/>
          <w:rtl/>
        </w:rPr>
        <w:t>ר עליה ולהכיר את סעיפיה השונים, שכן הנ"ל הינו תקציר בלבד והתנאים הקובעים והמחייבים הינם תנאי הפוליסה. העמודים הרלוונטיים לפרק זה בפוליסה: 20-26.</w:t>
      </w:r>
    </w:p>
    <w:p w:rsidR="00751C6E" w:rsidRDefault="00751C6E" w:rsidP="00751C6E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לכל שאלה ניתן לפנות לאופיר במשרד הכלכלי, טל' 0545618915, מייל: </w:t>
      </w:r>
      <w:hyperlink r:id="rId5" w:history="1">
        <w:r w:rsidRPr="00DA3B06">
          <w:rPr>
            <w:rStyle w:val="Hyperlink"/>
            <w:b/>
            <w:bCs/>
            <w:sz w:val="24"/>
            <w:szCs w:val="24"/>
          </w:rPr>
          <w:t>ofir.tz@yagur.org.il</w:t>
        </w:r>
      </w:hyperlink>
    </w:p>
    <w:p w:rsidR="00751C6E" w:rsidRPr="002A5E21" w:rsidRDefault="00751C6E" w:rsidP="00751C6E">
      <w:pPr>
        <w:rPr>
          <w:b/>
          <w:bCs/>
          <w:sz w:val="24"/>
          <w:szCs w:val="24"/>
        </w:rPr>
      </w:pPr>
    </w:p>
    <w:p w:rsidR="00751C6E" w:rsidRDefault="00751C6E" w:rsidP="00751C6E">
      <w:pPr>
        <w:rPr>
          <w:sz w:val="36"/>
          <w:szCs w:val="36"/>
          <w:rtl/>
        </w:rPr>
      </w:pPr>
    </w:p>
    <w:p w:rsidR="00751C6E" w:rsidRPr="00A239D0" w:rsidRDefault="00751C6E" w:rsidP="00751C6E">
      <w:pPr>
        <w:rPr>
          <w:sz w:val="36"/>
          <w:szCs w:val="36"/>
          <w:rtl/>
        </w:rPr>
      </w:pPr>
    </w:p>
    <w:p w:rsidR="00751C6E" w:rsidRDefault="00751C6E" w:rsidP="00751C6E">
      <w:pPr>
        <w:rPr>
          <w:sz w:val="36"/>
          <w:szCs w:val="36"/>
          <w:rtl/>
        </w:rPr>
      </w:pPr>
    </w:p>
    <w:p w:rsidR="00751C6E" w:rsidRDefault="00751C6E" w:rsidP="00751C6E">
      <w:pPr>
        <w:rPr>
          <w:sz w:val="36"/>
          <w:szCs w:val="36"/>
          <w:rtl/>
        </w:rPr>
      </w:pPr>
    </w:p>
    <w:p w:rsidR="00751C6E" w:rsidRDefault="00751C6E" w:rsidP="00751C6E">
      <w:pPr>
        <w:rPr>
          <w:sz w:val="36"/>
          <w:szCs w:val="36"/>
          <w:rtl/>
        </w:rPr>
      </w:pPr>
    </w:p>
    <w:p w:rsidR="00751C6E" w:rsidRDefault="00751C6E" w:rsidP="00751C6E">
      <w:pPr>
        <w:rPr>
          <w:sz w:val="36"/>
          <w:szCs w:val="36"/>
          <w:rtl/>
        </w:rPr>
      </w:pPr>
    </w:p>
    <w:p w:rsidR="00751C6E" w:rsidRDefault="00751C6E" w:rsidP="00751C6E">
      <w:pPr>
        <w:rPr>
          <w:sz w:val="36"/>
          <w:szCs w:val="36"/>
          <w:rtl/>
        </w:rPr>
      </w:pPr>
    </w:p>
    <w:p w:rsidR="00751C6E" w:rsidRPr="00064A9F" w:rsidRDefault="00751C6E" w:rsidP="00751C6E">
      <w:pPr>
        <w:rPr>
          <w:b/>
          <w:bCs/>
          <w:i/>
          <w:iCs/>
          <w:sz w:val="36"/>
          <w:szCs w:val="36"/>
          <w:u w:val="single"/>
        </w:rPr>
      </w:pPr>
      <w:r w:rsidRPr="00064A9F">
        <w:rPr>
          <w:rFonts w:hint="cs"/>
          <w:b/>
          <w:bCs/>
          <w:i/>
          <w:iCs/>
          <w:sz w:val="36"/>
          <w:szCs w:val="36"/>
          <w:u w:val="single"/>
          <w:rtl/>
        </w:rPr>
        <w:lastRenderedPageBreak/>
        <w:t xml:space="preserve"> </w:t>
      </w:r>
    </w:p>
    <w:p w:rsidR="004B124C" w:rsidRPr="00751C6E" w:rsidRDefault="000C07A5"/>
    <w:sectPr w:rsidR="004B124C" w:rsidRPr="00751C6E" w:rsidSect="00F62B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77FA2"/>
    <w:multiLevelType w:val="hybridMultilevel"/>
    <w:tmpl w:val="C212D3A8"/>
    <w:lvl w:ilvl="0" w:tplc="88720B98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C6E"/>
    <w:rsid w:val="000703BA"/>
    <w:rsid w:val="000C07A5"/>
    <w:rsid w:val="00164233"/>
    <w:rsid w:val="003B6D26"/>
    <w:rsid w:val="004E136B"/>
    <w:rsid w:val="00751C6E"/>
    <w:rsid w:val="00B35649"/>
    <w:rsid w:val="00C6052B"/>
    <w:rsid w:val="00C875F5"/>
    <w:rsid w:val="00CE6A23"/>
    <w:rsid w:val="00DD2B23"/>
    <w:rsid w:val="00E2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8242"/>
  <w15:docId w15:val="{9985040E-CF1F-4A7C-979C-C6AFB9D5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51C6E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16423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64233"/>
    <w:rPr>
      <w:rFonts w:ascii="Arial" w:hAnsi="Arial" w:cs="Arial" w:hint="default"/>
      <w:b/>
      <w:bCs/>
      <w:i w:val="0"/>
      <w:iCs w:val="0"/>
      <w:color w:val="FF0000"/>
      <w:sz w:val="22"/>
      <w:szCs w:val="22"/>
    </w:rPr>
  </w:style>
  <w:style w:type="paragraph" w:styleId="a3">
    <w:name w:val="List Paragraph"/>
    <w:basedOn w:val="a"/>
    <w:uiPriority w:val="34"/>
    <w:qFormat/>
    <w:rsid w:val="003B6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ir.tz@yagur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 Cahana</cp:lastModifiedBy>
  <cp:revision>3</cp:revision>
  <dcterms:created xsi:type="dcterms:W3CDTF">2019-06-09T14:31:00Z</dcterms:created>
  <dcterms:modified xsi:type="dcterms:W3CDTF">2019-06-09T19:36:00Z</dcterms:modified>
</cp:coreProperties>
</file>